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BC5634" w:rsidRPr="00D811A1" w:rsidTr="00812C0E">
        <w:tc>
          <w:tcPr>
            <w:tcW w:w="5635" w:type="dxa"/>
          </w:tcPr>
          <w:p w:rsidR="00BC5634" w:rsidRPr="0034683E" w:rsidRDefault="00BC5634" w:rsidP="00812C0E">
            <w:pPr>
              <w:bidi/>
              <w:textAlignment w:val="top"/>
              <w:rPr>
                <w:rFonts w:ascii="Arial" w:eastAsia="Times New Roman" w:hAnsi="Arial" w:cs="Arial"/>
                <w:color w:val="888888"/>
                <w:sz w:val="16"/>
                <w:szCs w:val="16"/>
              </w:rPr>
            </w:pPr>
            <w:r w:rsidRPr="0034683E">
              <w:rPr>
                <w:rFonts w:ascii="Arial" w:eastAsia="Times New Roman" w:hAnsi="Arial" w:cs="Arial" w:hint="cs"/>
                <w:color w:val="000000"/>
                <w:szCs w:val="20"/>
                <w:rtl/>
              </w:rPr>
              <w:t>واي ماكس على أساس تسليم عمودي لشبكات الجيل التالي</w:t>
            </w:r>
          </w:p>
          <w:p w:rsidR="00BC5634" w:rsidRPr="0034683E" w:rsidRDefault="00BC5634" w:rsidP="00812C0E">
            <w:pPr>
              <w:bidi/>
              <w:textAlignment w:val="top"/>
              <w:rPr>
                <w:rFonts w:ascii="Arial" w:eastAsia="Times New Roman" w:hAnsi="Arial" w:cs="Arial"/>
                <w:color w:val="1111CC"/>
                <w:sz w:val="16"/>
                <w:szCs w:val="16"/>
                <w:rtl/>
              </w:rPr>
            </w:pPr>
            <w:r w:rsidRPr="0034683E">
              <w:rPr>
                <w:rFonts w:ascii="Arial" w:eastAsia="Times New Roman" w:hAnsi="Arial" w:cs="Arial"/>
                <w:color w:val="1111CC"/>
                <w:szCs w:val="16"/>
                <w:rtl/>
              </w:rPr>
              <w:t>الاستماع</w:t>
            </w:r>
          </w:p>
          <w:p w:rsidR="00BC5634" w:rsidRPr="0034683E" w:rsidRDefault="00BC5634" w:rsidP="00812C0E">
            <w:pPr>
              <w:bidi/>
              <w:textAlignment w:val="top"/>
              <w:rPr>
                <w:rFonts w:ascii="Arial" w:eastAsia="Times New Roman" w:hAnsi="Arial" w:cs="Arial"/>
                <w:vanish/>
                <w:color w:val="1111CC"/>
                <w:sz w:val="16"/>
                <w:szCs w:val="16"/>
                <w:rtl/>
              </w:rPr>
            </w:pPr>
            <w:r w:rsidRPr="0034683E">
              <w:rPr>
                <w:rFonts w:ascii="Arial" w:eastAsia="Times New Roman" w:hAnsi="Arial" w:cs="Arial"/>
                <w:vanish/>
                <w:color w:val="1111CC"/>
                <w:szCs w:val="16"/>
                <w:rtl/>
              </w:rPr>
              <w:t>قراءة صوتية للكلمات</w:t>
            </w:r>
          </w:p>
          <w:p w:rsidR="00BC5634" w:rsidRPr="0034683E" w:rsidRDefault="00BC5634" w:rsidP="00812C0E">
            <w:pPr>
              <w:spacing w:line="360" w:lineRule="atLeast"/>
              <w:textAlignment w:val="top"/>
              <w:rPr>
                <w:rFonts w:ascii="Lucida Sans Unicode" w:eastAsia="Times New Roman" w:hAnsi="Lucida Sans Unicode" w:cs="Lucida Sans Unicode"/>
                <w:vanish/>
                <w:color w:val="777777"/>
                <w:sz w:val="16"/>
                <w:szCs w:val="16"/>
                <w:rtl/>
              </w:rPr>
            </w:pPr>
            <w:r w:rsidRPr="0034683E">
              <w:rPr>
                <w:rFonts w:ascii="Lucida Sans Unicode" w:eastAsia="Times New Roman" w:hAnsi="Lucida Sans Unicode" w:cs="Lucida Sans Unicode"/>
                <w:vanish/>
                <w:color w:val="777777"/>
                <w:sz w:val="16"/>
                <w:szCs w:val="16"/>
              </w:rPr>
              <w:t> </w:t>
            </w:r>
          </w:p>
          <w:p w:rsidR="00BC5634" w:rsidRPr="0034683E" w:rsidRDefault="00BC5634" w:rsidP="00812C0E">
            <w:pPr>
              <w:bidi/>
              <w:spacing w:after="125" w:line="200" w:lineRule="atLeast"/>
              <w:textAlignment w:val="top"/>
              <w:outlineLvl w:val="3"/>
              <w:rPr>
                <w:rFonts w:ascii="Arial" w:eastAsia="Times New Roman" w:hAnsi="Arial" w:cs="Arial"/>
                <w:vanish/>
                <w:color w:val="888888"/>
                <w:sz w:val="16"/>
                <w:szCs w:val="16"/>
              </w:rPr>
            </w:pPr>
            <w:r w:rsidRPr="0034683E">
              <w:rPr>
                <w:rFonts w:ascii="Arial" w:eastAsia="Times New Roman" w:hAnsi="Arial" w:cs="Arial"/>
                <w:vanish/>
                <w:color w:val="888888"/>
                <w:sz w:val="16"/>
                <w:szCs w:val="16"/>
                <w:rtl/>
              </w:rPr>
              <w:t xml:space="preserve">القاموس - </w:t>
            </w:r>
            <w:hyperlink r:id="rId4" w:history="1">
              <w:r w:rsidRPr="0034683E">
                <w:rPr>
                  <w:rFonts w:ascii="Arial" w:eastAsia="Times New Roman" w:hAnsi="Arial" w:cs="Arial"/>
                  <w:vanish/>
                  <w:color w:val="4272DB"/>
                  <w:sz w:val="16"/>
                  <w:szCs w:val="16"/>
                  <w:rtl/>
                </w:rPr>
                <w:t>عرض القاموس المفصل</w:t>
              </w:r>
            </w:hyperlink>
          </w:p>
          <w:p w:rsidR="00BC5634" w:rsidRPr="00D811A1" w:rsidRDefault="00BC5634" w:rsidP="00812C0E">
            <w:pPr>
              <w:bidi/>
              <w:jc w:val="center"/>
              <w:rPr>
                <w:rFonts w:asciiTheme="majorBidi" w:hAnsiTheme="majorBidi" w:cstheme="majorBidi"/>
                <w:rtl/>
              </w:rPr>
            </w:pP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Research Title (Arabic)</w:t>
            </w:r>
          </w:p>
        </w:tc>
      </w:tr>
      <w:tr w:rsidR="00BC5634" w:rsidRPr="00D811A1" w:rsidTr="00812C0E">
        <w:tc>
          <w:tcPr>
            <w:tcW w:w="5635" w:type="dxa"/>
          </w:tcPr>
          <w:p w:rsidR="00BC5634" w:rsidRPr="00D811A1" w:rsidRDefault="00BC5634" w:rsidP="00812C0E">
            <w:pPr>
              <w:jc w:val="lowKashida"/>
              <w:rPr>
                <w:rFonts w:asciiTheme="majorBidi" w:hAnsiTheme="majorBidi" w:cstheme="majorBidi"/>
                <w:rtl/>
              </w:rPr>
            </w:pPr>
            <w:proofErr w:type="spellStart"/>
            <w:r w:rsidRPr="00D811A1">
              <w:rPr>
                <w:rFonts w:asciiTheme="majorBidi" w:hAnsiTheme="majorBidi" w:cstheme="majorBidi"/>
              </w:rPr>
              <w:t>WiMax</w:t>
            </w:r>
            <w:proofErr w:type="spellEnd"/>
            <w:r w:rsidRPr="00D811A1">
              <w:rPr>
                <w:rFonts w:asciiTheme="majorBidi" w:hAnsiTheme="majorBidi" w:cstheme="majorBidi"/>
              </w:rPr>
              <w:t>-based Vertical handovers for Next Generation Networks</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Research Title (English)</w:t>
            </w:r>
          </w:p>
        </w:tc>
      </w:tr>
      <w:tr w:rsidR="00BC5634" w:rsidRPr="00D811A1" w:rsidTr="00812C0E">
        <w:tc>
          <w:tcPr>
            <w:tcW w:w="5635" w:type="dxa"/>
          </w:tcPr>
          <w:p w:rsidR="00BC5634" w:rsidRPr="00D811A1" w:rsidRDefault="00BC5634" w:rsidP="00812C0E">
            <w:pPr>
              <w:bidi/>
              <w:jc w:val="center"/>
              <w:rPr>
                <w:rFonts w:asciiTheme="majorBidi" w:hAnsiTheme="majorBidi" w:cstheme="majorBidi"/>
                <w:rtl/>
              </w:rPr>
            </w:pPr>
            <w:r w:rsidRPr="0034683E">
              <w:rPr>
                <w:rFonts w:ascii="Arial" w:eastAsia="Times New Roman" w:hAnsi="Arial" w:cs="Arial" w:hint="cs"/>
                <w:color w:val="000000"/>
                <w:szCs w:val="20"/>
                <w:rtl/>
              </w:rPr>
              <w:t>واي ماكس</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Research Topic (Arabic)</w:t>
            </w:r>
          </w:p>
        </w:tc>
      </w:tr>
      <w:tr w:rsidR="00BC5634" w:rsidRPr="00D811A1" w:rsidTr="00812C0E">
        <w:tc>
          <w:tcPr>
            <w:tcW w:w="5635" w:type="dxa"/>
          </w:tcPr>
          <w:p w:rsidR="00BC5634" w:rsidRPr="00D811A1" w:rsidRDefault="00BC5634" w:rsidP="00812C0E">
            <w:pPr>
              <w:bidi/>
              <w:jc w:val="center"/>
              <w:rPr>
                <w:rFonts w:asciiTheme="majorBidi" w:hAnsiTheme="majorBidi" w:cstheme="majorBidi"/>
              </w:rPr>
            </w:pPr>
            <w:r>
              <w:rPr>
                <w:rFonts w:asciiTheme="majorBidi" w:hAnsiTheme="majorBidi" w:cstheme="majorBidi"/>
              </w:rPr>
              <w:t>WIMAX</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Research Topic (English)</w:t>
            </w:r>
          </w:p>
        </w:tc>
      </w:tr>
      <w:tr w:rsidR="00BC5634" w:rsidRPr="00D811A1" w:rsidTr="00812C0E">
        <w:tc>
          <w:tcPr>
            <w:tcW w:w="5635" w:type="dxa"/>
          </w:tcPr>
          <w:p w:rsidR="00BC5634" w:rsidRPr="00D811A1" w:rsidRDefault="00BC5634" w:rsidP="00812C0E">
            <w:pPr>
              <w:bidi/>
              <w:jc w:val="center"/>
              <w:rPr>
                <w:rFonts w:asciiTheme="majorBidi" w:hAnsiTheme="majorBidi" w:cstheme="majorBidi"/>
                <w:rtl/>
              </w:rPr>
            </w:pP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Publisher (Arabic)</w:t>
            </w:r>
          </w:p>
        </w:tc>
      </w:tr>
      <w:tr w:rsidR="00BC5634" w:rsidRPr="00D811A1" w:rsidTr="00812C0E">
        <w:tc>
          <w:tcPr>
            <w:tcW w:w="5635"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 xml:space="preserve">Springer </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Publisher (English)</w:t>
            </w:r>
          </w:p>
        </w:tc>
      </w:tr>
      <w:tr w:rsidR="00BC5634" w:rsidRPr="00D811A1" w:rsidTr="00812C0E">
        <w:tc>
          <w:tcPr>
            <w:tcW w:w="5635" w:type="dxa"/>
          </w:tcPr>
          <w:p w:rsidR="00BC5634" w:rsidRPr="00D811A1" w:rsidRDefault="00BC5634" w:rsidP="00812C0E">
            <w:pPr>
              <w:bidi/>
              <w:jc w:val="center"/>
              <w:rPr>
                <w:rFonts w:asciiTheme="majorBidi" w:hAnsiTheme="majorBidi" w:cstheme="majorBidi"/>
                <w:rtl/>
              </w:rPr>
            </w:pPr>
            <w:r>
              <w:rPr>
                <w:rFonts w:asciiTheme="majorBidi" w:hAnsiTheme="majorBidi" w:cstheme="majorBidi"/>
              </w:rPr>
              <w:t>2007</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Publishing Year (Arabic)</w:t>
            </w:r>
          </w:p>
        </w:tc>
      </w:tr>
      <w:tr w:rsidR="00BC5634" w:rsidRPr="00D811A1" w:rsidTr="00812C0E">
        <w:tc>
          <w:tcPr>
            <w:tcW w:w="5635"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2007</w:t>
            </w:r>
          </w:p>
        </w:tc>
        <w:tc>
          <w:tcPr>
            <w:tcW w:w="4928" w:type="dxa"/>
          </w:tcPr>
          <w:p w:rsidR="00BC5634" w:rsidRPr="00D811A1" w:rsidRDefault="00BC5634" w:rsidP="00812C0E">
            <w:pPr>
              <w:bidi/>
              <w:jc w:val="right"/>
              <w:rPr>
                <w:rFonts w:asciiTheme="majorBidi" w:hAnsiTheme="majorBidi" w:cstheme="majorBidi"/>
                <w:rtl/>
              </w:rPr>
            </w:pPr>
            <w:r w:rsidRPr="00D811A1">
              <w:rPr>
                <w:rFonts w:asciiTheme="majorBidi" w:hAnsiTheme="majorBidi" w:cstheme="majorBidi"/>
              </w:rPr>
              <w:t>Publishing Year (English)</w:t>
            </w:r>
          </w:p>
        </w:tc>
      </w:tr>
      <w:tr w:rsidR="00BC5634" w:rsidRPr="00D811A1" w:rsidTr="00812C0E">
        <w:tc>
          <w:tcPr>
            <w:tcW w:w="5635"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eastAsia="Meiryo" w:hAnsiTheme="majorBidi" w:cstheme="majorBidi"/>
              </w:rPr>
              <w:t>9781402062698</w:t>
            </w: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BC5634" w:rsidRPr="00D811A1" w:rsidTr="00812C0E">
        <w:tc>
          <w:tcPr>
            <w:tcW w:w="5635" w:type="dxa"/>
          </w:tcPr>
          <w:p w:rsidR="00BC5634" w:rsidRPr="0034683E" w:rsidRDefault="00BC5634" w:rsidP="00812C0E">
            <w:pPr>
              <w:bidi/>
              <w:spacing w:after="150" w:line="240" w:lineRule="atLeast"/>
              <w:textAlignment w:val="top"/>
              <w:outlineLvl w:val="3"/>
              <w:rPr>
                <w:rFonts w:ascii="Arial" w:eastAsia="Times New Roman" w:hAnsi="Arial" w:cs="Arial"/>
                <w:b/>
                <w:bCs/>
                <w:color w:val="000000"/>
                <w:sz w:val="20"/>
                <w:szCs w:val="20"/>
              </w:rPr>
            </w:pPr>
            <w:r w:rsidRPr="0034683E">
              <w:rPr>
                <w:rFonts w:ascii="Arial" w:eastAsia="Times New Roman" w:hAnsi="Arial" w:cs="Arial"/>
                <w:b/>
                <w:bCs/>
                <w:color w:val="000000"/>
                <w:sz w:val="20"/>
                <w:szCs w:val="20"/>
                <w:rtl/>
              </w:rPr>
              <w:t>ترجمة من الإنجليزية إلى العربية</w:t>
            </w:r>
          </w:p>
          <w:p w:rsidR="00BC5634" w:rsidRPr="0034683E" w:rsidRDefault="00BC5634" w:rsidP="00812C0E">
            <w:pPr>
              <w:bidi/>
              <w:textAlignment w:val="top"/>
              <w:rPr>
                <w:rFonts w:ascii="Arial" w:eastAsia="Times New Roman" w:hAnsi="Arial" w:cs="Arial"/>
                <w:color w:val="888888"/>
                <w:sz w:val="20"/>
                <w:szCs w:val="20"/>
                <w:rtl/>
              </w:rPr>
            </w:pPr>
            <w:r w:rsidRPr="0034683E">
              <w:rPr>
                <w:rFonts w:ascii="Arial" w:eastAsia="Times New Roman" w:hAnsi="Arial" w:cs="Arial"/>
                <w:color w:val="888888"/>
                <w:sz w:val="20"/>
                <w:szCs w:val="20"/>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ole="">
                  <v:imagedata r:id="rId5" o:title=""/>
                </v:shape>
                <w:control r:id="rId6" w:name="tts_flash" w:shapeid="_x0000_i1027"/>
              </w:object>
            </w:r>
          </w:p>
          <w:p w:rsidR="00BC5634" w:rsidRPr="0034683E" w:rsidRDefault="00BC5634" w:rsidP="00812C0E">
            <w:pPr>
              <w:bidi/>
              <w:textAlignment w:val="top"/>
              <w:rPr>
                <w:rFonts w:ascii="Arial" w:eastAsia="Times New Roman" w:hAnsi="Arial" w:cs="Arial"/>
                <w:color w:val="888888"/>
                <w:sz w:val="20"/>
                <w:szCs w:val="20"/>
                <w:rtl/>
              </w:rPr>
            </w:pPr>
            <w:r w:rsidRPr="0034683E">
              <w:rPr>
                <w:rFonts w:ascii="Arial" w:eastAsia="Times New Roman" w:hAnsi="Arial" w:cs="Arial" w:hint="cs"/>
                <w:color w:val="000000"/>
                <w:sz w:val="24"/>
                <w:szCs w:val="24"/>
                <w:rtl/>
              </w:rPr>
              <w:t>تسليم عمودي ؛ الاحتياطية دي إم؛ شبكة واي ماكس</w:t>
            </w:r>
          </w:p>
          <w:p w:rsidR="00BC5634" w:rsidRPr="00D811A1" w:rsidRDefault="00BC5634" w:rsidP="00812C0E">
            <w:pPr>
              <w:pStyle w:val="ListParagraph"/>
              <w:bidi/>
              <w:ind w:left="0"/>
              <w:jc w:val="center"/>
              <w:rPr>
                <w:rFonts w:asciiTheme="majorBidi" w:hAnsiTheme="majorBidi" w:cstheme="majorBidi"/>
                <w:rtl/>
              </w:rPr>
            </w:pP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BC5634" w:rsidRPr="00D811A1" w:rsidTr="00812C0E">
        <w:tc>
          <w:tcPr>
            <w:tcW w:w="5635"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 xml:space="preserve">vertical handover; Stand-by IDM; </w:t>
            </w:r>
            <w:proofErr w:type="spellStart"/>
            <w:r w:rsidRPr="00D811A1">
              <w:rPr>
                <w:rFonts w:asciiTheme="majorBidi" w:hAnsiTheme="majorBidi" w:cstheme="majorBidi"/>
              </w:rPr>
              <w:t>WiMax</w:t>
            </w:r>
            <w:proofErr w:type="spellEnd"/>
            <w:r w:rsidRPr="00D811A1">
              <w:rPr>
                <w:rFonts w:asciiTheme="majorBidi" w:hAnsiTheme="majorBidi" w:cstheme="majorBidi"/>
              </w:rPr>
              <w:t xml:space="preserve"> network</w:t>
            </w: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BC5634" w:rsidRPr="00D811A1" w:rsidTr="00812C0E">
        <w:tc>
          <w:tcPr>
            <w:tcW w:w="5635" w:type="dxa"/>
          </w:tcPr>
          <w:p w:rsidR="00BC5634" w:rsidRPr="00D811A1" w:rsidRDefault="00BC5634" w:rsidP="00812C0E">
            <w:pPr>
              <w:jc w:val="lowKashida"/>
              <w:rPr>
                <w:rFonts w:asciiTheme="majorBidi" w:eastAsia="Batang" w:hAnsiTheme="majorBidi" w:cstheme="majorBidi"/>
              </w:rPr>
            </w:pPr>
            <w:r w:rsidRPr="00D811A1">
              <w:rPr>
                <w:rFonts w:asciiTheme="majorBidi" w:eastAsia="Batang" w:hAnsiTheme="majorBidi" w:cstheme="majorBidi"/>
              </w:rPr>
              <w:t>NTMS'07 International Conference on New Technologies Mobility and Security, Paris, France.</w:t>
            </w:r>
          </w:p>
          <w:p w:rsidR="00BC5634" w:rsidRPr="00D811A1" w:rsidRDefault="00BC5634" w:rsidP="00812C0E">
            <w:pPr>
              <w:ind w:left="720" w:right="480"/>
              <w:jc w:val="lowKashida"/>
              <w:rPr>
                <w:rFonts w:asciiTheme="majorBidi" w:hAnsiTheme="majorBidi" w:cstheme="majorBidi"/>
                <w:rtl/>
              </w:rPr>
            </w:pPr>
            <w:r w:rsidRPr="00D811A1">
              <w:rPr>
                <w:rFonts w:asciiTheme="majorBidi" w:hAnsiTheme="majorBidi" w:cstheme="majorBidi"/>
              </w:rPr>
              <w:t xml:space="preserve">2007 </w:t>
            </w: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BC5634" w:rsidRPr="00D811A1" w:rsidTr="00812C0E">
        <w:tc>
          <w:tcPr>
            <w:tcW w:w="5635" w:type="dxa"/>
          </w:tcPr>
          <w:p w:rsidR="00BC5634" w:rsidRPr="00D811A1" w:rsidRDefault="00BC5634" w:rsidP="00812C0E">
            <w:pPr>
              <w:pStyle w:val="ListParagraph"/>
              <w:bidi/>
              <w:ind w:left="0"/>
              <w:jc w:val="center"/>
              <w:rPr>
                <w:rFonts w:asciiTheme="majorBidi" w:hAnsiTheme="majorBidi" w:cstheme="majorBidi"/>
                <w:rtl/>
              </w:rPr>
            </w:pP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BC5634" w:rsidRPr="00D811A1" w:rsidTr="00812C0E">
        <w:tc>
          <w:tcPr>
            <w:tcW w:w="5635" w:type="dxa"/>
          </w:tcPr>
          <w:p w:rsidR="00BC5634" w:rsidRPr="0034683E" w:rsidRDefault="00BC5634" w:rsidP="00812C0E">
            <w:pPr>
              <w:bidi/>
              <w:textAlignment w:val="top"/>
              <w:rPr>
                <w:rFonts w:ascii="Arial" w:eastAsia="Times New Roman" w:hAnsi="Arial" w:cs="Arial"/>
                <w:vanish/>
                <w:color w:val="1111CC"/>
                <w:sz w:val="20"/>
                <w:szCs w:val="20"/>
                <w:rtl/>
              </w:rPr>
            </w:pPr>
            <w:r w:rsidRPr="0034683E">
              <w:rPr>
                <w:rFonts w:ascii="Arial" w:eastAsia="Times New Roman" w:hAnsi="Arial" w:cs="Arial" w:hint="cs"/>
                <w:color w:val="000000"/>
                <w:sz w:val="24"/>
                <w:szCs w:val="24"/>
                <w:rtl/>
              </w:rPr>
              <w:t xml:space="preserve">وتصف هذه الورقة هيكل جديد لإدارة التنقل في شبكات الجيل القادم. الهيكل المقترح يهدف إلى أن يقدم لمستخدمي الهواتف المتحركة، التجوال في الجيل القادم استمرارية خدمة الشبكات دون تدهور جودة الخدمة. ويستند هذا المقترح على الإدارة المشتركة بين المجال </w:t>
            </w:r>
            <w:r>
              <w:rPr>
                <w:rFonts w:ascii="Arial" w:eastAsia="Times New Roman" w:hAnsi="Arial" w:cs="Arial"/>
                <w:color w:val="000000"/>
                <w:sz w:val="24"/>
                <w:szCs w:val="24"/>
              </w:rPr>
              <w:t>-</w:t>
            </w:r>
            <w:r w:rsidRPr="0034683E">
              <w:rPr>
                <w:rFonts w:ascii="Arial" w:eastAsia="Times New Roman" w:hAnsi="Arial" w:cs="Arial" w:hint="cs"/>
                <w:color w:val="000000"/>
                <w:sz w:val="24"/>
                <w:szCs w:val="24"/>
                <w:rtl/>
              </w:rPr>
              <w:t xml:space="preserve">وحدة مسؤولة عن توجيه تسليم العمودي لشبكة واي ماكس قادرة على تقديم نوعية الخدمة للمستخدم </w:t>
            </w:r>
            <w:r>
              <w:rPr>
                <w:rFonts w:ascii="Arial" w:eastAsia="Times New Roman" w:hAnsi="Arial" w:cs="Arial" w:hint="cs"/>
                <w:color w:val="000000"/>
                <w:sz w:val="24"/>
                <w:szCs w:val="24"/>
                <w:rtl/>
              </w:rPr>
              <w:t>ب</w:t>
            </w:r>
            <w:r w:rsidRPr="0034683E">
              <w:rPr>
                <w:rFonts w:ascii="Arial" w:eastAsia="Times New Roman" w:hAnsi="Arial" w:cs="Arial" w:hint="cs"/>
                <w:color w:val="000000"/>
                <w:sz w:val="24"/>
                <w:szCs w:val="24"/>
                <w:rtl/>
              </w:rPr>
              <w:t>نفس السياق والمعلمات. وتستند إدارة التنقل في برنامج تسليم سريع مقرونا</w:t>
            </w:r>
            <w:r w:rsidRPr="0034683E">
              <w:rPr>
                <w:rFonts w:ascii="Arial" w:eastAsia="Times New Roman" w:hAnsi="Arial" w:cs="Arial" w:hint="cs"/>
                <w:color w:val="000000"/>
                <w:sz w:val="24"/>
                <w:szCs w:val="24"/>
                <w:rtl/>
              </w:rPr>
              <w:br/>
            </w:r>
            <w:r>
              <w:rPr>
                <w:rFonts w:ascii="Arial" w:eastAsia="Times New Roman" w:hAnsi="Arial" w:cs="Arial" w:hint="cs"/>
                <w:color w:val="000000"/>
                <w:sz w:val="24"/>
                <w:szCs w:val="24"/>
                <w:rtl/>
              </w:rPr>
              <w:t>ب</w:t>
            </w:r>
            <w:r w:rsidRPr="0034683E">
              <w:rPr>
                <w:rFonts w:ascii="Arial" w:eastAsia="Times New Roman" w:hAnsi="Arial" w:cs="Arial" w:hint="cs"/>
                <w:color w:val="000000"/>
                <w:sz w:val="24"/>
                <w:szCs w:val="24"/>
                <w:rtl/>
              </w:rPr>
              <w:t xml:space="preserve">بروتوكول نقل سياق </w:t>
            </w:r>
            <w:r>
              <w:rPr>
                <w:rFonts w:ascii="Arial" w:eastAsia="Times New Roman" w:hAnsi="Arial" w:cs="Arial" w:hint="cs"/>
                <w:color w:val="000000"/>
                <w:sz w:val="24"/>
                <w:szCs w:val="24"/>
                <w:rtl/>
              </w:rPr>
              <w:t>الأداء</w:t>
            </w:r>
            <w:r>
              <w:rPr>
                <w:rFonts w:ascii="Arial" w:eastAsia="Times New Roman" w:hAnsi="Arial" w:cs="Arial"/>
                <w:color w:val="000000"/>
                <w:sz w:val="24"/>
                <w:szCs w:val="24"/>
              </w:rPr>
              <w:t>.</w:t>
            </w:r>
            <w:r w:rsidRPr="0034683E">
              <w:rPr>
                <w:rFonts w:ascii="Arial" w:eastAsia="Times New Roman" w:hAnsi="Arial" w:cs="Arial"/>
                <w:vanish/>
                <w:color w:val="1111CC"/>
                <w:szCs w:val="20"/>
                <w:rtl/>
              </w:rPr>
              <w:t>الاستماع</w:t>
            </w:r>
          </w:p>
          <w:p w:rsidR="00BC5634" w:rsidRPr="0034683E" w:rsidRDefault="00BC5634" w:rsidP="00812C0E">
            <w:pPr>
              <w:bidi/>
              <w:textAlignment w:val="top"/>
              <w:rPr>
                <w:rFonts w:ascii="Arial" w:eastAsia="Times New Roman" w:hAnsi="Arial" w:cs="Arial"/>
                <w:vanish/>
                <w:color w:val="1111CC"/>
                <w:sz w:val="20"/>
                <w:szCs w:val="20"/>
                <w:rtl/>
              </w:rPr>
            </w:pPr>
            <w:r w:rsidRPr="0034683E">
              <w:rPr>
                <w:rFonts w:ascii="Arial" w:eastAsia="Times New Roman" w:hAnsi="Arial" w:cs="Arial"/>
                <w:vanish/>
                <w:color w:val="1111CC"/>
                <w:szCs w:val="20"/>
                <w:rtl/>
              </w:rPr>
              <w:t>قراءة صوتية للكلمات</w:t>
            </w:r>
          </w:p>
          <w:p w:rsidR="00BC5634" w:rsidRPr="0034683E" w:rsidRDefault="00BC5634" w:rsidP="00812C0E">
            <w:pPr>
              <w:spacing w:line="360" w:lineRule="atLeast"/>
              <w:textAlignment w:val="top"/>
              <w:rPr>
                <w:rFonts w:ascii="Lucida Sans Unicode" w:eastAsia="Times New Roman" w:hAnsi="Lucida Sans Unicode" w:cs="Lucida Sans Unicode"/>
                <w:vanish/>
                <w:color w:val="777777"/>
                <w:sz w:val="20"/>
                <w:szCs w:val="20"/>
                <w:rtl/>
              </w:rPr>
            </w:pPr>
            <w:r w:rsidRPr="0034683E">
              <w:rPr>
                <w:rFonts w:ascii="Lucida Sans Unicode" w:eastAsia="Times New Roman" w:hAnsi="Lucida Sans Unicode" w:cs="Lucida Sans Unicode"/>
                <w:vanish/>
                <w:color w:val="777777"/>
                <w:sz w:val="20"/>
                <w:szCs w:val="20"/>
              </w:rPr>
              <w:t> </w:t>
            </w:r>
          </w:p>
          <w:p w:rsidR="00BC5634" w:rsidRPr="0034683E" w:rsidRDefault="00BC5634" w:rsidP="00812C0E">
            <w:pPr>
              <w:bidi/>
              <w:spacing w:after="150" w:line="240" w:lineRule="atLeast"/>
              <w:textAlignment w:val="top"/>
              <w:outlineLvl w:val="3"/>
              <w:rPr>
                <w:rFonts w:ascii="Arial" w:eastAsia="Times New Roman" w:hAnsi="Arial" w:cs="Arial"/>
                <w:vanish/>
                <w:color w:val="888888"/>
                <w:sz w:val="20"/>
                <w:szCs w:val="20"/>
              </w:rPr>
            </w:pPr>
            <w:r w:rsidRPr="0034683E">
              <w:rPr>
                <w:rFonts w:ascii="Arial" w:eastAsia="Times New Roman" w:hAnsi="Arial" w:cs="Arial"/>
                <w:vanish/>
                <w:color w:val="888888"/>
                <w:sz w:val="20"/>
                <w:szCs w:val="20"/>
                <w:rtl/>
              </w:rPr>
              <w:t xml:space="preserve">القاموس - </w:t>
            </w:r>
            <w:hyperlink r:id="rId7" w:history="1">
              <w:r w:rsidRPr="0034683E">
                <w:rPr>
                  <w:rFonts w:ascii="Arial" w:eastAsia="Times New Roman" w:hAnsi="Arial" w:cs="Arial"/>
                  <w:vanish/>
                  <w:color w:val="4272DB"/>
                  <w:sz w:val="20"/>
                  <w:szCs w:val="20"/>
                  <w:rtl/>
                </w:rPr>
                <w:t>عرض القاموس المفصل</w:t>
              </w:r>
            </w:hyperlink>
          </w:p>
          <w:p w:rsidR="00BC5634" w:rsidRPr="0034683E" w:rsidRDefault="00BC5634" w:rsidP="00812C0E">
            <w:pPr>
              <w:pStyle w:val="ListParagraph"/>
              <w:bidi/>
              <w:ind w:left="0"/>
              <w:jc w:val="center"/>
              <w:rPr>
                <w:rFonts w:asciiTheme="majorBidi" w:hAnsiTheme="majorBidi" w:cstheme="majorBidi"/>
              </w:rPr>
            </w:pPr>
          </w:p>
          <w:p w:rsidR="00BC5634" w:rsidRPr="00D811A1" w:rsidRDefault="00BC5634" w:rsidP="00812C0E">
            <w:pPr>
              <w:pStyle w:val="ListParagraph"/>
              <w:bidi/>
              <w:ind w:left="0"/>
              <w:jc w:val="center"/>
              <w:rPr>
                <w:rFonts w:asciiTheme="majorBidi" w:hAnsiTheme="majorBidi" w:cstheme="majorBidi"/>
              </w:rPr>
            </w:pPr>
          </w:p>
          <w:p w:rsidR="00BC5634" w:rsidRPr="00D811A1" w:rsidRDefault="00BC5634" w:rsidP="00812C0E">
            <w:pPr>
              <w:pStyle w:val="ListParagraph"/>
              <w:bidi/>
              <w:ind w:left="0"/>
              <w:jc w:val="center"/>
              <w:rPr>
                <w:rFonts w:asciiTheme="majorBidi" w:hAnsiTheme="majorBidi" w:cstheme="majorBidi"/>
                <w:rtl/>
              </w:rPr>
            </w:pP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BC5634" w:rsidRPr="00D811A1" w:rsidRDefault="00BC5634" w:rsidP="00812C0E">
            <w:pPr>
              <w:pStyle w:val="ListParagraph"/>
              <w:bidi/>
              <w:ind w:left="0"/>
              <w:jc w:val="right"/>
              <w:rPr>
                <w:rFonts w:asciiTheme="majorBidi" w:hAnsiTheme="majorBidi" w:cstheme="majorBidi"/>
                <w:rtl/>
              </w:rPr>
            </w:pPr>
          </w:p>
        </w:tc>
      </w:tr>
      <w:tr w:rsidR="00BC5634" w:rsidRPr="00D811A1" w:rsidTr="00812C0E">
        <w:trPr>
          <w:trHeight w:val="576"/>
        </w:trPr>
        <w:tc>
          <w:tcPr>
            <w:tcW w:w="5635" w:type="dxa"/>
          </w:tcPr>
          <w:p w:rsidR="00BC5634" w:rsidRPr="00D811A1" w:rsidRDefault="00BC5634" w:rsidP="00812C0E">
            <w:pPr>
              <w:pStyle w:val="ListParagraph"/>
              <w:bidi/>
              <w:ind w:left="0"/>
              <w:jc w:val="center"/>
              <w:rPr>
                <w:rFonts w:asciiTheme="majorBidi" w:hAnsiTheme="majorBidi" w:cstheme="majorBidi"/>
              </w:rPr>
            </w:pPr>
          </w:p>
          <w:p w:rsidR="00BC5634" w:rsidRPr="00D811A1" w:rsidRDefault="00BC5634" w:rsidP="00812C0E">
            <w:pPr>
              <w:autoSpaceDE w:val="0"/>
              <w:autoSpaceDN w:val="0"/>
              <w:adjustRightInd w:val="0"/>
              <w:rPr>
                <w:rFonts w:asciiTheme="majorBidi" w:hAnsiTheme="majorBidi" w:cstheme="majorBidi"/>
              </w:rPr>
            </w:pPr>
            <w:r w:rsidRPr="00D811A1">
              <w:rPr>
                <w:rFonts w:asciiTheme="majorBidi" w:hAnsiTheme="majorBidi" w:cstheme="majorBidi"/>
              </w:rPr>
              <w:t xml:space="preserve">This paper describes a new architecture for mobility management in next generation networks. The proposed architecture aims to offer mobile users, roaming in next generation networks service continuity without </w:t>
            </w:r>
            <w:proofErr w:type="spellStart"/>
            <w:r w:rsidRPr="00D811A1">
              <w:rPr>
                <w:rFonts w:asciiTheme="majorBidi" w:hAnsiTheme="majorBidi" w:cstheme="majorBidi"/>
              </w:rPr>
              <w:t>QoS</w:t>
            </w:r>
            <w:proofErr w:type="spellEnd"/>
            <w:r w:rsidRPr="00D811A1">
              <w:rPr>
                <w:rFonts w:asciiTheme="majorBidi" w:hAnsiTheme="majorBidi" w:cstheme="majorBidi"/>
              </w:rPr>
              <w:t xml:space="preserve"> degradation. This is based on the proposed Inter-Domain Management module IDM responsible of guiding the vertical handover to </w:t>
            </w:r>
            <w:proofErr w:type="spellStart"/>
            <w:r w:rsidRPr="00D811A1">
              <w:rPr>
                <w:rFonts w:asciiTheme="majorBidi" w:hAnsiTheme="majorBidi" w:cstheme="majorBidi"/>
              </w:rPr>
              <w:t>WiMax</w:t>
            </w:r>
            <w:proofErr w:type="spellEnd"/>
            <w:r w:rsidRPr="00D811A1">
              <w:rPr>
                <w:rFonts w:asciiTheme="majorBidi" w:hAnsiTheme="majorBidi" w:cstheme="majorBidi"/>
              </w:rPr>
              <w:t xml:space="preserve"> network capable of offering the user the same </w:t>
            </w:r>
            <w:proofErr w:type="spellStart"/>
            <w:r w:rsidRPr="00D811A1">
              <w:rPr>
                <w:rFonts w:asciiTheme="majorBidi" w:hAnsiTheme="majorBidi" w:cstheme="majorBidi"/>
              </w:rPr>
              <w:t>QoS</w:t>
            </w:r>
            <w:proofErr w:type="spellEnd"/>
            <w:r w:rsidRPr="00D811A1">
              <w:rPr>
                <w:rFonts w:asciiTheme="majorBidi" w:hAnsiTheme="majorBidi" w:cstheme="majorBidi"/>
              </w:rPr>
              <w:t xml:space="preserve"> and context parameters. The mobility management is based on fast MIP handovers coupled with</w:t>
            </w:r>
          </w:p>
          <w:p w:rsidR="00BC5634" w:rsidRPr="00D811A1" w:rsidRDefault="00BC5634" w:rsidP="00812C0E">
            <w:pPr>
              <w:pStyle w:val="ListParagraph"/>
              <w:bidi/>
              <w:ind w:left="0"/>
              <w:jc w:val="center"/>
              <w:rPr>
                <w:rFonts w:asciiTheme="majorBidi" w:hAnsiTheme="majorBidi" w:cstheme="majorBidi"/>
              </w:rPr>
            </w:pPr>
            <w:r w:rsidRPr="00D811A1">
              <w:rPr>
                <w:rFonts w:asciiTheme="majorBidi" w:hAnsiTheme="majorBidi" w:cstheme="majorBidi"/>
              </w:rPr>
              <w:t>the Context Transfer Protocol CTP</w:t>
            </w:r>
          </w:p>
          <w:p w:rsidR="00BC5634" w:rsidRPr="00D811A1" w:rsidRDefault="00BC5634" w:rsidP="00812C0E">
            <w:pPr>
              <w:pStyle w:val="ListParagraph"/>
              <w:bidi/>
              <w:ind w:left="0"/>
              <w:jc w:val="center"/>
              <w:rPr>
                <w:rFonts w:asciiTheme="majorBidi" w:hAnsiTheme="majorBidi" w:cstheme="majorBidi"/>
              </w:rPr>
            </w:pPr>
          </w:p>
          <w:p w:rsidR="00BC5634" w:rsidRPr="00D811A1" w:rsidRDefault="00BC5634" w:rsidP="00812C0E">
            <w:pPr>
              <w:pStyle w:val="ListParagraph"/>
              <w:bidi/>
              <w:ind w:left="0"/>
              <w:jc w:val="center"/>
              <w:rPr>
                <w:rFonts w:asciiTheme="majorBidi" w:hAnsiTheme="majorBidi" w:cstheme="majorBidi"/>
                <w:rtl/>
              </w:rPr>
            </w:pPr>
          </w:p>
        </w:tc>
        <w:tc>
          <w:tcPr>
            <w:tcW w:w="4928" w:type="dxa"/>
          </w:tcPr>
          <w:p w:rsidR="00BC5634" w:rsidRPr="00D811A1" w:rsidRDefault="00BC5634"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(English)</w:t>
            </w:r>
          </w:p>
          <w:p w:rsidR="00BC5634" w:rsidRPr="00D811A1" w:rsidRDefault="00BC5634" w:rsidP="00812C0E">
            <w:pPr>
              <w:pStyle w:val="ListParagraph"/>
              <w:bidi/>
              <w:ind w:left="0"/>
              <w:rPr>
                <w:rFonts w:asciiTheme="majorBidi" w:hAnsiTheme="majorBidi" w:cstheme="majorBidi"/>
                <w:rtl/>
              </w:rPr>
            </w:pPr>
          </w:p>
        </w:tc>
      </w:tr>
    </w:tbl>
    <w:p w:rsidR="000826CA" w:rsidRDefault="000826CA">
      <w:pPr>
        <w:rPr>
          <w:rFonts w:hint="cs"/>
        </w:rPr>
      </w:pPr>
    </w:p>
    <w:sectPr w:rsidR="000826CA" w:rsidSect="008C2D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5634"/>
    <w:rsid w:val="000826CA"/>
    <w:rsid w:val="008C2D99"/>
    <w:rsid w:val="00BC56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56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sa/dictionary?source=translation&amp;hl=ar&amp;q=GPRS%20simulation%20in%20NS%20for%20WLAN%20and%20GPRS%20integration&amp;langpair=en|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hyperlink" Target="http://www.google.com.sa/dictionary?source=translation&amp;hl=ar&amp;q=GPRS%20simulation%20in%20NS%20for%20WLAN%20and%20GPRS%20integration&amp;langpair=en|ar" TargetMode="External"/><Relationship Id="rId9"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476"/>
  <ax:ocxPr ax:name="_cy" ax:value="476"/>
  <ax:ocxPr ax:name="FlashVars" ax:value=""/>
  <ax:ocxPr ax:name="Movie" ax:value="http://www.gstatic.com/translate/sound_player2.swf"/>
  <ax:ocxPr ax:name="Src" ax:value="http://www.gstatic.com/translate/sound_player2.swf"/>
  <ax:ocxPr ax:name="WMode" ax:value="Transparent"/>
  <ax:ocxPr ax:name="Play" ax:value="0"/>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2011-03-18T16:59:00Z</dcterms:created>
  <dcterms:modified xsi:type="dcterms:W3CDTF">2011-03-18T16:59:00Z</dcterms:modified>
</cp:coreProperties>
</file>